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313" w:rsidRDefault="00E34CEE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Karta przedmiotu</w:t>
      </w:r>
    </w:p>
    <w:p w:rsidR="00145313" w:rsidRDefault="00E34CEE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top w:val="nil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2579"/>
        <w:gridCol w:w="1917"/>
        <w:gridCol w:w="1004"/>
      </w:tblGrid>
      <w:tr w:rsidR="00145313">
        <w:tc>
          <w:tcPr>
            <w:tcW w:w="9692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:rsidR="00145313" w:rsidRDefault="00E34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Informacje ogólne o przedmiocie</w:t>
            </w:r>
          </w:p>
        </w:tc>
      </w:tr>
      <w:tr w:rsidR="00145313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145313" w:rsidRDefault="00E34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</w:tcBorders>
          </w:tcPr>
          <w:p w:rsidR="00145313" w:rsidRDefault="00E34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II stopień</w:t>
            </w:r>
          </w:p>
          <w:p w:rsidR="00145313" w:rsidRDefault="00E34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stacjonarne</w:t>
            </w:r>
          </w:p>
        </w:tc>
      </w:tr>
      <w:tr w:rsidR="00145313">
        <w:tc>
          <w:tcPr>
            <w:tcW w:w="4192" w:type="dxa"/>
            <w:gridSpan w:val="2"/>
          </w:tcPr>
          <w:p w:rsidR="00145313" w:rsidRDefault="00E34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II</w:t>
            </w:r>
          </w:p>
        </w:tc>
        <w:tc>
          <w:tcPr>
            <w:tcW w:w="5500" w:type="dxa"/>
            <w:gridSpan w:val="3"/>
          </w:tcPr>
          <w:p w:rsidR="00145313" w:rsidRDefault="00E34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5. Semestr: III</w:t>
            </w:r>
          </w:p>
        </w:tc>
      </w:tr>
      <w:tr w:rsidR="00145313">
        <w:tc>
          <w:tcPr>
            <w:tcW w:w="9692" w:type="dxa"/>
            <w:gridSpan w:val="5"/>
          </w:tcPr>
          <w:p w:rsidR="00145313" w:rsidRDefault="00E34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Podstawy żywienia w onkologii</w:t>
            </w:r>
          </w:p>
        </w:tc>
      </w:tr>
      <w:tr w:rsidR="00145313">
        <w:tc>
          <w:tcPr>
            <w:tcW w:w="9692" w:type="dxa"/>
            <w:gridSpan w:val="5"/>
          </w:tcPr>
          <w:p w:rsidR="00145313" w:rsidRDefault="00E34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specjalnościowy/fakultatywny</w:t>
            </w:r>
          </w:p>
        </w:tc>
      </w:tr>
      <w:tr w:rsidR="00145313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145313" w:rsidRDefault="00E34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</w:tc>
      </w:tr>
      <w:tr w:rsidR="00145313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145313" w:rsidRDefault="00E34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Celem kształcenia jest zapoznanie studenta z podstawowymi zasadami postępowania żywieniowego u pacjentów z chorobą nowotworową. Student po zakończeniu modułu powinien znać czynniki żywieniowe zwiększające i zmniejszające ryzyko wystąpienia choroby nowotwor</w:t>
            </w:r>
            <w:r>
              <w:rPr>
                <w:color w:val="000000"/>
              </w:rPr>
              <w:t xml:space="preserve">owej, znać podstawowe zasady </w:t>
            </w:r>
            <w:proofErr w:type="spellStart"/>
            <w:r>
              <w:rPr>
                <w:color w:val="000000"/>
              </w:rPr>
              <w:t>dietoprofilaktyki</w:t>
            </w:r>
            <w:proofErr w:type="spellEnd"/>
            <w:r>
              <w:rPr>
                <w:color w:val="000000"/>
              </w:rPr>
              <w:t xml:space="preserve"> i </w:t>
            </w:r>
            <w:proofErr w:type="spellStart"/>
            <w:r>
              <w:rPr>
                <w:color w:val="000000"/>
              </w:rPr>
              <w:t>dietoterapii</w:t>
            </w:r>
            <w:proofErr w:type="spellEnd"/>
            <w:r>
              <w:rPr>
                <w:color w:val="000000"/>
              </w:rPr>
              <w:t xml:space="preserve"> chorób nowotworowych. Student powinien znać zasady rozpoznawania pacjenta z ryzykiem niedożywienia związanego z chorobą oraz podejmować właściwe działania zmierzające do zapobiegania powstawania</w:t>
            </w:r>
            <w:r>
              <w:rPr>
                <w:color w:val="000000"/>
              </w:rPr>
              <w:t xml:space="preserve"> niedożywienia. Po zakończeniu modułu student powinien umieć pracować z pacjentem onkologicznym – przeprowadzać wywiad, formułować ogólne zalecenia dietetyczne, formułować zalecenia związane z </w:t>
            </w:r>
            <w:proofErr w:type="spellStart"/>
            <w:r>
              <w:rPr>
                <w:color w:val="000000"/>
              </w:rPr>
              <w:t>dietoprofilaktyką</w:t>
            </w:r>
            <w:proofErr w:type="spellEnd"/>
            <w:r>
              <w:rPr>
                <w:color w:val="000000"/>
              </w:rPr>
              <w:t xml:space="preserve"> nowotworów.</w:t>
            </w:r>
          </w:p>
          <w:p w:rsidR="00145313" w:rsidRDefault="001453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145313" w:rsidRDefault="00E34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Efekty uczenia się/odniesienie d</w:t>
            </w:r>
            <w:r>
              <w:rPr>
                <w:b/>
                <w:color w:val="000000"/>
              </w:rPr>
              <w:t>o efektów uczenia się zawartych w standardach</w:t>
            </w:r>
          </w:p>
          <w:p w:rsidR="00145313" w:rsidRDefault="00E34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w zakresie wiedzy student zna i rozumie:</w:t>
            </w:r>
          </w:p>
          <w:p w:rsidR="00145313" w:rsidRDefault="00E34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P_W01:K_W01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Prezentuje pogłębioną wiedzę z zakresu rozpoznawania podstawowych zagrożeń zdrowia ludności związanych z jakością środowiska, stylem życia i sposobem żywienia oraz innymi czynnikami ryzyka zdrowotnego.</w:t>
            </w:r>
          </w:p>
          <w:p w:rsidR="00145313" w:rsidRDefault="00E34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P_W02: K_W09</w:t>
            </w:r>
            <w:r>
              <w:rPr>
                <w:color w:val="000000"/>
              </w:rPr>
              <w:tab/>
              <w:t>Rozumie rolę instytucji funkcjonujących w</w:t>
            </w:r>
            <w:r>
              <w:rPr>
                <w:color w:val="000000"/>
              </w:rPr>
              <w:t xml:space="preserve"> systemie ochrony zdrowia w obszarze: opieki, edukacji, promocji, nadzoru i planowania.</w:t>
            </w:r>
          </w:p>
          <w:p w:rsidR="00145313" w:rsidRDefault="001453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145313" w:rsidRDefault="00E34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w zakresie umiejętności student potrafi:</w:t>
            </w:r>
          </w:p>
          <w:p w:rsidR="00145313" w:rsidRDefault="00E34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P_U01:K_U02 Posiada umiejętności wykorzystania z wiedzy teoretycznej, dostrzegania, obserwacji i interpretacji zjawisk w zakre</w:t>
            </w:r>
            <w:r>
              <w:rPr>
                <w:color w:val="000000"/>
              </w:rPr>
              <w:t>sie zdrowia populacji, pogłębione i wzbogacone o wyjaśnianie wzajemnych  relacji między zdrowiem a czynnikami społeczno-ekonomicznymi i środowiskowymi.</w:t>
            </w:r>
          </w:p>
          <w:p w:rsidR="00145313" w:rsidRDefault="00E34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P_U02:K_U06 Podejmuje działania na rzecz zwiększania świadomości społecznej w zakresie zdrowia, zdrowia </w:t>
            </w:r>
            <w:r>
              <w:rPr>
                <w:color w:val="000000"/>
              </w:rPr>
              <w:t>środowiskowego i bezpieczeństwa w pracy.</w:t>
            </w:r>
          </w:p>
          <w:p w:rsidR="00145313" w:rsidRDefault="00E34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P_U03:K_U07</w:t>
            </w:r>
            <w:r>
              <w:rPr>
                <w:color w:val="000000"/>
              </w:rPr>
              <w:tab/>
              <w:t>Posiada umiejętność samodzielnego proponowania rozwiązań konkretnego problemu i przeprowadzenia procedury podjęcia rozstrzygnięć w tym zakresie.</w:t>
            </w:r>
          </w:p>
          <w:p w:rsidR="00145313" w:rsidRDefault="00E34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P_U04:P_U09 Potrafi opracować program w zakresie edukacji zdrowotnej dla wybranych grup społecznych i jednostek.</w:t>
            </w:r>
          </w:p>
          <w:p w:rsidR="00145313" w:rsidRDefault="001453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145313" w:rsidRDefault="00E34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w zakresie kompetencji społecznych student jest gotów do:</w:t>
            </w:r>
          </w:p>
          <w:p w:rsidR="00145313" w:rsidRDefault="00E34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P_K01:K_K01 Zna poziom swoich kompetencji i jest gotów do korzystania z pomocy ekspe</w:t>
            </w:r>
            <w:r>
              <w:rPr>
                <w:color w:val="000000"/>
              </w:rPr>
              <w:t>rtów, współpracuje w zespole interdyscyplinarnym, zgodnie z zasadami etyki zawodowej i uregulowaniami prawnymi.</w:t>
            </w:r>
          </w:p>
          <w:p w:rsidR="00145313" w:rsidRDefault="001453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</w:tr>
      <w:tr w:rsidR="00145313">
        <w:tc>
          <w:tcPr>
            <w:tcW w:w="8688" w:type="dxa"/>
            <w:gridSpan w:val="4"/>
            <w:vAlign w:val="center"/>
          </w:tcPr>
          <w:p w:rsidR="00145313" w:rsidRDefault="00E34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9. liczba godzin z przedmiotu  (ogółem/liczba godzin kontaktowych)</w:t>
            </w:r>
          </w:p>
        </w:tc>
        <w:tc>
          <w:tcPr>
            <w:tcW w:w="1004" w:type="dxa"/>
            <w:vAlign w:val="center"/>
          </w:tcPr>
          <w:p w:rsidR="00145313" w:rsidRDefault="00E34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112(56</w:t>
            </w:r>
            <w:r>
              <w:rPr>
                <w:b/>
                <w:color w:val="000000"/>
              </w:rPr>
              <w:t>)</w:t>
            </w:r>
          </w:p>
        </w:tc>
      </w:tr>
      <w:tr w:rsidR="00145313">
        <w:tc>
          <w:tcPr>
            <w:tcW w:w="8688" w:type="dxa"/>
            <w:gridSpan w:val="4"/>
            <w:vAlign w:val="center"/>
          </w:tcPr>
          <w:p w:rsidR="00145313" w:rsidRDefault="00E34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:rsidR="00145313" w:rsidRDefault="00E34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4 </w:t>
            </w:r>
            <w:bookmarkStart w:id="0" w:name="_GoBack"/>
            <w:bookmarkEnd w:id="0"/>
            <w:r>
              <w:rPr>
                <w:b/>
                <w:color w:val="000000"/>
              </w:rPr>
              <w:t>(2,0)</w:t>
            </w:r>
          </w:p>
        </w:tc>
      </w:tr>
      <w:tr w:rsidR="00145313">
        <w:tc>
          <w:tcPr>
            <w:tcW w:w="96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145313" w:rsidRDefault="00E34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145313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145313" w:rsidRDefault="00E34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145313" w:rsidRDefault="00E34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145313" w:rsidRDefault="00E34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oceny*</w:t>
            </w:r>
          </w:p>
        </w:tc>
      </w:tr>
      <w:tr w:rsidR="00145313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145313" w:rsidRDefault="00E34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145313" w:rsidRDefault="00E34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Sprawdzian pisemny – pytania otwarte</w:t>
            </w:r>
          </w:p>
          <w:p w:rsidR="00145313" w:rsidRDefault="00E34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Zaliczenie na ocenę – test wyboru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145313" w:rsidRDefault="00E34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lastRenderedPageBreak/>
              <w:t>*</w:t>
            </w:r>
          </w:p>
        </w:tc>
      </w:tr>
      <w:tr w:rsidR="00145313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145313" w:rsidRDefault="00E34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145313" w:rsidRDefault="00E34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Sprawozdanie</w:t>
            </w:r>
          </w:p>
          <w:p w:rsidR="00145313" w:rsidRDefault="00E34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Obserwacja</w:t>
            </w:r>
          </w:p>
          <w:p w:rsidR="00145313" w:rsidRDefault="00E34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145313" w:rsidRDefault="00E34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  <w:tr w:rsidR="00145313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145313" w:rsidRDefault="00E34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145313" w:rsidRDefault="00E34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145313" w:rsidRDefault="00E34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</w:tbl>
    <w:p w:rsidR="00145313" w:rsidRDefault="0014531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p w:rsidR="00145313" w:rsidRDefault="00E34CEE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</w:rPr>
      </w:pPr>
      <w:r>
        <w:rPr>
          <w:b/>
          <w:color w:val="000000"/>
          <w:sz w:val="28"/>
          <w:szCs w:val="28"/>
        </w:rPr>
        <w:t>*</w:t>
      </w:r>
      <w:r>
        <w:rPr>
          <w:color w:val="000000"/>
        </w:rPr>
        <w:t xml:space="preserve"> zakłada się, że ocena oznacza na poziomie:</w:t>
      </w:r>
    </w:p>
    <w:p w:rsidR="00145313" w:rsidRDefault="00E34CEE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znacznym stopniu przekraczają wymagany poziom</w:t>
      </w:r>
    </w:p>
    <w:p w:rsidR="00145313" w:rsidRDefault="00E34CEE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Ponad dobry (4,5)</w:t>
      </w:r>
      <w:r>
        <w:rPr>
          <w:color w:val="000000"/>
        </w:rPr>
        <w:t xml:space="preserve"> - zakładane efekty uczenia się zostały osiągnięte i w niewielkim stopniu przekraczają wymagany poziom</w:t>
      </w:r>
    </w:p>
    <w:p w:rsidR="00145313" w:rsidRDefault="00E34CEE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Dobry (4,0)</w:t>
      </w:r>
      <w:r>
        <w:rPr>
          <w:color w:val="000000"/>
        </w:rPr>
        <w:t xml:space="preserve"> – zakładane efekty uczenia się zostały osiągnięte na wymaganym poziomie</w:t>
      </w:r>
    </w:p>
    <w:p w:rsidR="00145313" w:rsidRDefault="00E34CEE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</w:t>
      </w:r>
      <w:r>
        <w:rPr>
          <w:color w:val="000000"/>
        </w:rPr>
        <w:t xml:space="preserve"> średnim wymaganym poziomie</w:t>
      </w:r>
    </w:p>
    <w:p w:rsidR="00145313" w:rsidRDefault="00E34CEE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Dostateczny (3,0)</w:t>
      </w:r>
      <w:r>
        <w:rPr>
          <w:color w:val="000000"/>
        </w:rPr>
        <w:t xml:space="preserve"> - zakładane efekty uczenia się zostały osiągnięte na minimalnym wymaganym poziomie</w:t>
      </w:r>
    </w:p>
    <w:p w:rsidR="00145313" w:rsidRDefault="00E34CEE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Niedostateczny (2,0)</w:t>
      </w:r>
      <w:r>
        <w:rPr>
          <w:color w:val="000000"/>
        </w:rPr>
        <w:t xml:space="preserve"> – zakładane efekty uczenia się nie zostały uzyskane.</w:t>
      </w:r>
    </w:p>
    <w:sectPr w:rsidR="00145313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313"/>
    <w:rsid w:val="00145313"/>
    <w:rsid w:val="00E3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D960B2-6EAD-4991-BBDD-C19080A89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pPr>
      <w:ind w:left="720"/>
      <w:contextualSpacing/>
    </w:p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oOxf3ec2n4Ro+jhmCbyrFs4GJw==">AMUW2mUrliDOaIdn1dUugCPBVMREHsq3S4DvyqNaf+Osc8FwbhxFXTxTrVmztiDmM4WrTRKqRIb0STAJMRyjIqs3MRe6t/K5mPkuj/2CKJW/pMI5uzv6y/c=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4CEEFCD9-C13D-444B-89AF-507AB862B9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852B9A-F5C8-48D6-844D-EDCDE7EB22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FD1A65-382A-4C11-8B12-64FD164990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519</Words>
  <Characters>3120</Characters>
  <Application>Microsoft Office Word</Application>
  <DocSecurity>0</DocSecurity>
  <Lines>26</Lines>
  <Paragraphs>7</Paragraphs>
  <ScaleCrop>false</ScaleCrop>
  <Company/>
  <LinksUpToDate>false</LinksUpToDate>
  <CharactersWithSpaces>3632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2019-11-05T10:04:00Z</dcterms:created>
  <dcterms:modified xsi:type="dcterms:W3CDTF">2022-03-31T16:36:00Z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